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A57E" w14:textId="77777777" w:rsidR="00754203" w:rsidRPr="004B0564" w:rsidRDefault="00754203" w:rsidP="00754203">
      <w:pPr>
        <w:pStyle w:val="BodyText"/>
        <w:rPr>
          <w:color w:val="EE0000"/>
        </w:rPr>
      </w:pPr>
      <w:r w:rsidRPr="004B0564">
        <w:rPr>
          <w:color w:val="EE0000"/>
        </w:rPr>
        <w:t xml:space="preserve">Customisation Note: This document ID (MISAFE-IMS-TMP-002-V1.0) ensures traceability per ISO standards. Replace with your own ID or use as is for your IMS. Customise the content to fit your organisation's specific needs, ensuring alignment with ISO 9001, ISO 45001, and ISO 14001 requirements. To use this template effectively, read the explanatory notes in each section, which guide you on what information to provide and why it's important. Add your own terms if </w:t>
      </w:r>
      <w:proofErr w:type="gramStart"/>
      <w:r w:rsidRPr="004B0564">
        <w:rPr>
          <w:color w:val="EE0000"/>
        </w:rPr>
        <w:t>needed, and</w:t>
      </w:r>
      <w:proofErr w:type="gramEnd"/>
      <w:r w:rsidRPr="004B0564">
        <w:rPr>
          <w:color w:val="EE0000"/>
        </w:rPr>
        <w:t xml:space="preserve"> review the entire document for completeness before approval.</w:t>
      </w:r>
    </w:p>
    <w:p w14:paraId="4E6BD4C6" w14:textId="77777777" w:rsidR="00754203" w:rsidRPr="00754203" w:rsidRDefault="00754203" w:rsidP="003B156C">
      <w:pPr>
        <w:pStyle w:val="BodyText"/>
        <w:numPr>
          <w:ilvl w:val="0"/>
          <w:numId w:val="17"/>
        </w:numPr>
        <w:ind w:left="284" w:hanging="284"/>
      </w:pPr>
      <w:r w:rsidRPr="00754203">
        <w:t>Organisation Overview Provide a brief description of your organisation, including its primary activities, products, services, locations, and size. This sets the context for the glossary and helps tailor definitions to your operations.</w:t>
      </w:r>
    </w:p>
    <w:p w14:paraId="19CE8F77" w14:textId="77777777" w:rsidR="00754203" w:rsidRPr="004B0564" w:rsidRDefault="00754203" w:rsidP="00754203">
      <w:pPr>
        <w:pStyle w:val="BodyText"/>
        <w:rPr>
          <w:color w:val="EE0000"/>
        </w:rPr>
      </w:pPr>
      <w:r w:rsidRPr="004B0564">
        <w:rPr>
          <w:color w:val="EE0000"/>
        </w:rPr>
        <w:t>[Placeholder: Insert description here, e.g., "ABC Construction Pty Ltd is a medium-sized firm based in Brisbane, Queensland, specialising in residential building projects with 50 employees across two sites."]</w:t>
      </w:r>
    </w:p>
    <w:p w14:paraId="24629269" w14:textId="77777777" w:rsidR="00754203" w:rsidRPr="00754203" w:rsidRDefault="00754203" w:rsidP="003B156C">
      <w:pPr>
        <w:pStyle w:val="BodyText"/>
        <w:numPr>
          <w:ilvl w:val="0"/>
          <w:numId w:val="17"/>
        </w:numPr>
        <w:ind w:left="284" w:hanging="284"/>
      </w:pPr>
      <w:r w:rsidRPr="00754203">
        <w:t>Purpose of the Glossary State the purpose of this glossary. This ties into ISO requirements for documented information and communication, demonstrating how it supports your IMS by clarifying terms for training, audits, and daily use.</w:t>
      </w:r>
    </w:p>
    <w:p w14:paraId="7497993D" w14:textId="77777777" w:rsidR="00754203" w:rsidRPr="004B0564" w:rsidRDefault="00754203" w:rsidP="00754203">
      <w:pPr>
        <w:pStyle w:val="BodyText"/>
        <w:rPr>
          <w:color w:val="EE0000"/>
        </w:rPr>
      </w:pPr>
      <w:r w:rsidRPr="004B0564">
        <w:rPr>
          <w:color w:val="EE0000"/>
        </w:rPr>
        <w:t>[Placeholder: Insert purpose here, e.g., "This glossary provides simple definitions of key QHSE terms to ensure consistent understanding across the organisation, aiding in effective IMS implementation and compliance."]</w:t>
      </w:r>
    </w:p>
    <w:p w14:paraId="76DEA3DB" w14:textId="77777777" w:rsidR="00754203" w:rsidRPr="00754203" w:rsidRDefault="00754203" w:rsidP="003B156C">
      <w:pPr>
        <w:pStyle w:val="BodyText"/>
        <w:numPr>
          <w:ilvl w:val="0"/>
          <w:numId w:val="17"/>
        </w:numPr>
        <w:ind w:left="284" w:hanging="284"/>
      </w:pPr>
      <w:r w:rsidRPr="00754203">
        <w:t>General QHSE Terms List and define foundational terms that apply across QHSE. Include examples relevant to your business for practicality.</w:t>
      </w:r>
    </w:p>
    <w:p w14:paraId="5640FB93" w14:textId="77777777" w:rsidR="00754203" w:rsidRPr="00754203" w:rsidRDefault="00754203" w:rsidP="003B156C">
      <w:pPr>
        <w:pStyle w:val="BodyText"/>
        <w:numPr>
          <w:ilvl w:val="0"/>
          <w:numId w:val="18"/>
        </w:numPr>
        <w:ind w:left="426"/>
      </w:pPr>
      <w:r w:rsidRPr="00754203">
        <w:t>Integrated Management System (IMS): A single management framework that integrates quality, health and safety, and environmental requirements rather than managing them in silos. Key intent: One system, one set of processes, one direction. Common misunderstanding: Thinking IMS means “three manuals merged together”. Example: An Australian manufacturing firm uses an IMS to handle supplier audits for both quality and safety in one process.</w:t>
      </w:r>
    </w:p>
    <w:p w14:paraId="1600095A" w14:textId="77777777" w:rsidR="00754203" w:rsidRPr="00754203" w:rsidRDefault="00754203" w:rsidP="003B156C">
      <w:pPr>
        <w:pStyle w:val="BodyText"/>
        <w:numPr>
          <w:ilvl w:val="0"/>
          <w:numId w:val="18"/>
        </w:numPr>
        <w:ind w:left="426"/>
      </w:pPr>
      <w:r w:rsidRPr="00754203">
        <w:t>Management System: A set of interrelated or interacting elements of an organisation used to establish policies, objectives, and processes to achieve those objectives. Includes: Structure, roles, planning, processes, monitoring, and improvement.</w:t>
      </w:r>
    </w:p>
    <w:p w14:paraId="1A737819" w14:textId="77777777" w:rsidR="00754203" w:rsidRPr="00754203" w:rsidRDefault="00754203" w:rsidP="003B156C">
      <w:pPr>
        <w:pStyle w:val="BodyText"/>
        <w:numPr>
          <w:ilvl w:val="0"/>
          <w:numId w:val="18"/>
        </w:numPr>
        <w:ind w:left="426"/>
      </w:pPr>
      <w:r w:rsidRPr="00754203">
        <w:t>Policy: A statement of intent and direction approved by top management. Not: A procedure or instruction. Audit focus: Is it communicated, understood, and applied?</w:t>
      </w:r>
    </w:p>
    <w:p w14:paraId="5AD3059C" w14:textId="77777777" w:rsidR="00754203" w:rsidRPr="00754203" w:rsidRDefault="00754203" w:rsidP="003B156C">
      <w:pPr>
        <w:pStyle w:val="BodyText"/>
        <w:numPr>
          <w:ilvl w:val="0"/>
          <w:numId w:val="18"/>
        </w:numPr>
        <w:ind w:left="426"/>
      </w:pPr>
      <w:r w:rsidRPr="00754203">
        <w:t>Objective: A measurable outcome aligned with policy and risk. Poor example: “Improve safety.” Good example: “Reduce manual handling injuries by 30 percent within 12 months.”</w:t>
      </w:r>
    </w:p>
    <w:p w14:paraId="6C8B2A27" w14:textId="77777777" w:rsidR="00754203" w:rsidRPr="00754203" w:rsidRDefault="00754203" w:rsidP="003B156C">
      <w:pPr>
        <w:pStyle w:val="BodyText"/>
        <w:numPr>
          <w:ilvl w:val="0"/>
          <w:numId w:val="18"/>
        </w:numPr>
        <w:ind w:left="426"/>
      </w:pPr>
      <w:r w:rsidRPr="00754203">
        <w:t>Target: A measurable performance requirement used to achieve an objective.</w:t>
      </w:r>
    </w:p>
    <w:p w14:paraId="31DD1D5E" w14:textId="77777777" w:rsidR="00754203" w:rsidRPr="00754203" w:rsidRDefault="00754203" w:rsidP="003B156C">
      <w:pPr>
        <w:pStyle w:val="BodyText"/>
        <w:numPr>
          <w:ilvl w:val="0"/>
          <w:numId w:val="18"/>
        </w:numPr>
        <w:ind w:left="426"/>
      </w:pPr>
      <w:r w:rsidRPr="00754203">
        <w:t>Process: A set of activities that transforms inputs into outputs. Audit reality: Auditors follow processes, not documents.</w:t>
      </w:r>
    </w:p>
    <w:p w14:paraId="0ABC7B17" w14:textId="77777777" w:rsidR="00754203" w:rsidRPr="00754203" w:rsidRDefault="00754203" w:rsidP="003B156C">
      <w:pPr>
        <w:pStyle w:val="BodyText"/>
        <w:numPr>
          <w:ilvl w:val="0"/>
          <w:numId w:val="18"/>
        </w:numPr>
        <w:ind w:left="426"/>
      </w:pPr>
      <w:r w:rsidRPr="00754203">
        <w:t>Procedure: A documented way of carrying out a process. Common error: Confusing procedures with work instructions or SWMS.</w:t>
      </w:r>
    </w:p>
    <w:p w14:paraId="7BCACFF5" w14:textId="77777777" w:rsidR="00754203" w:rsidRPr="00754203" w:rsidRDefault="00754203" w:rsidP="003B156C">
      <w:pPr>
        <w:pStyle w:val="BodyText"/>
        <w:numPr>
          <w:ilvl w:val="0"/>
          <w:numId w:val="18"/>
        </w:numPr>
        <w:ind w:left="426"/>
      </w:pPr>
      <w:r w:rsidRPr="00754203">
        <w:t>Work Instruction: A detailed step-by-step description of how to perform a specific task safely and consistently.</w:t>
      </w:r>
    </w:p>
    <w:p w14:paraId="2E98E975" w14:textId="77777777" w:rsidR="00754203" w:rsidRPr="00754203" w:rsidRDefault="00754203" w:rsidP="003B156C">
      <w:pPr>
        <w:pStyle w:val="BodyText"/>
        <w:numPr>
          <w:ilvl w:val="0"/>
          <w:numId w:val="18"/>
        </w:numPr>
        <w:ind w:left="426"/>
      </w:pPr>
      <w:r w:rsidRPr="00754203">
        <w:t>Record: Evidence that a process was performed. Examples: Inspection checklists, training attendance, permits.</w:t>
      </w:r>
    </w:p>
    <w:p w14:paraId="3B41064B" w14:textId="77777777" w:rsidR="00754203" w:rsidRPr="00754203" w:rsidRDefault="00754203" w:rsidP="003B156C">
      <w:pPr>
        <w:pStyle w:val="BodyText"/>
        <w:numPr>
          <w:ilvl w:val="0"/>
          <w:numId w:val="18"/>
        </w:numPr>
        <w:ind w:left="426"/>
      </w:pPr>
      <w:r w:rsidRPr="00754203">
        <w:t>Effectiveness: The extent to which planned activities are realised and planned results achieved. Audit test: Is it working, not just written?</w:t>
      </w:r>
    </w:p>
    <w:p w14:paraId="489B4E73" w14:textId="77777777" w:rsidR="00754203" w:rsidRPr="00754203" w:rsidRDefault="00754203" w:rsidP="003B156C">
      <w:pPr>
        <w:pStyle w:val="BodyText"/>
        <w:numPr>
          <w:ilvl w:val="0"/>
          <w:numId w:val="18"/>
        </w:numPr>
        <w:ind w:left="426"/>
      </w:pPr>
      <w:r w:rsidRPr="00754203">
        <w:t>Efficiency: The relationship between results achieved and resources used.</w:t>
      </w:r>
    </w:p>
    <w:p w14:paraId="091D7E81" w14:textId="77777777" w:rsidR="00754203" w:rsidRPr="00754203" w:rsidRDefault="00754203" w:rsidP="003B156C">
      <w:pPr>
        <w:pStyle w:val="BodyText"/>
        <w:numPr>
          <w:ilvl w:val="0"/>
          <w:numId w:val="18"/>
        </w:numPr>
        <w:ind w:left="426"/>
      </w:pPr>
      <w:r w:rsidRPr="00754203">
        <w:lastRenderedPageBreak/>
        <w:t>Continual Improvement: Recurring activity to enhance performance over time. Evidence: Trends, reviews, refinements.</w:t>
      </w:r>
    </w:p>
    <w:p w14:paraId="4B8ABD7B" w14:textId="77777777" w:rsidR="00754203" w:rsidRPr="00754203" w:rsidRDefault="00754203" w:rsidP="003B156C">
      <w:pPr>
        <w:pStyle w:val="BodyText"/>
        <w:numPr>
          <w:ilvl w:val="0"/>
          <w:numId w:val="18"/>
        </w:numPr>
        <w:ind w:left="426"/>
      </w:pPr>
      <w:r w:rsidRPr="00754203">
        <w:t>Audit: A systematic examination to verify compliance and effectiveness of the IMS. Internal audits help identify improvements before external certifications.</w:t>
      </w:r>
    </w:p>
    <w:p w14:paraId="2493EE61" w14:textId="77777777" w:rsidR="00754203" w:rsidRPr="00754203" w:rsidRDefault="00754203" w:rsidP="003B156C">
      <w:pPr>
        <w:pStyle w:val="BodyText"/>
        <w:numPr>
          <w:ilvl w:val="0"/>
          <w:numId w:val="18"/>
        </w:numPr>
        <w:ind w:left="426"/>
      </w:pPr>
      <w:r w:rsidRPr="00754203">
        <w:t>Corrective Action: Action to eliminate the cause of a nonconformity. Key test: Root cause addressed, not symptoms.</w:t>
      </w:r>
    </w:p>
    <w:p w14:paraId="5A2CB8C8" w14:textId="77777777" w:rsidR="00754203" w:rsidRPr="00754203" w:rsidRDefault="00754203" w:rsidP="003B156C">
      <w:pPr>
        <w:pStyle w:val="BodyText"/>
        <w:numPr>
          <w:ilvl w:val="0"/>
          <w:numId w:val="18"/>
        </w:numPr>
        <w:ind w:left="426"/>
      </w:pPr>
      <w:r w:rsidRPr="00754203">
        <w:t>Preventive Action: Proactive action to eliminate potential nonconformities. Now embedded within risk-based thinking.</w:t>
      </w:r>
    </w:p>
    <w:p w14:paraId="00B9BDAE" w14:textId="77777777" w:rsidR="00754203" w:rsidRPr="00754203" w:rsidRDefault="00754203" w:rsidP="003B156C">
      <w:pPr>
        <w:pStyle w:val="BodyText"/>
        <w:numPr>
          <w:ilvl w:val="0"/>
          <w:numId w:val="18"/>
        </w:numPr>
        <w:ind w:left="426"/>
      </w:pPr>
      <w:r w:rsidRPr="00754203">
        <w:t>Nonconformity: Non-fulfilment of a requirement. Sources: Standards, legislation, procedures, customer requirements.</w:t>
      </w:r>
    </w:p>
    <w:p w14:paraId="70AE7AB3" w14:textId="77777777" w:rsidR="00754203" w:rsidRPr="00754203" w:rsidRDefault="00754203" w:rsidP="003B156C">
      <w:pPr>
        <w:pStyle w:val="BodyText"/>
        <w:numPr>
          <w:ilvl w:val="0"/>
          <w:numId w:val="18"/>
        </w:numPr>
        <w:ind w:left="426"/>
      </w:pPr>
      <w:r w:rsidRPr="00754203">
        <w:t>Major Nonconformity: A significant failure affecting system integrity or legal compliance.</w:t>
      </w:r>
    </w:p>
    <w:p w14:paraId="70A61199" w14:textId="77777777" w:rsidR="00754203" w:rsidRPr="00754203" w:rsidRDefault="00754203" w:rsidP="003B156C">
      <w:pPr>
        <w:pStyle w:val="BodyText"/>
        <w:numPr>
          <w:ilvl w:val="0"/>
          <w:numId w:val="18"/>
        </w:numPr>
        <w:ind w:left="426"/>
      </w:pPr>
      <w:r w:rsidRPr="00754203">
        <w:t>Minor Nonconformity: An isolated lapse that does not indicate systemic failure.</w:t>
      </w:r>
    </w:p>
    <w:p w14:paraId="2DFE0774" w14:textId="77777777" w:rsidR="00754203" w:rsidRPr="00754203" w:rsidRDefault="00754203" w:rsidP="003B156C">
      <w:pPr>
        <w:pStyle w:val="BodyText"/>
        <w:numPr>
          <w:ilvl w:val="0"/>
          <w:numId w:val="18"/>
        </w:numPr>
        <w:ind w:left="426"/>
      </w:pPr>
      <w:r w:rsidRPr="00754203">
        <w:t>Observation: An improvement opportunity identified during audit but not a nonconformity.</w:t>
      </w:r>
    </w:p>
    <w:p w14:paraId="0570C423" w14:textId="77777777" w:rsidR="00754203" w:rsidRPr="00754203" w:rsidRDefault="00754203" w:rsidP="003B156C">
      <w:pPr>
        <w:pStyle w:val="BodyText"/>
        <w:numPr>
          <w:ilvl w:val="0"/>
          <w:numId w:val="18"/>
        </w:numPr>
        <w:ind w:left="426"/>
      </w:pPr>
      <w:r w:rsidRPr="00754203">
        <w:t>Root Cause: The fundamental reason a nonconformity occurred. Common failure: Stopping at “human error”.</w:t>
      </w:r>
    </w:p>
    <w:p w14:paraId="522121C5" w14:textId="77777777" w:rsidR="00754203" w:rsidRPr="00754203" w:rsidRDefault="00754203" w:rsidP="003B156C">
      <w:pPr>
        <w:pStyle w:val="BodyText"/>
        <w:numPr>
          <w:ilvl w:val="0"/>
          <w:numId w:val="17"/>
        </w:numPr>
        <w:ind w:left="284" w:hanging="284"/>
      </w:pPr>
      <w:r w:rsidRPr="00754203">
        <w:t>Risk and Opportunity Language (Cross-Standard) Define terms related to risk management, common across standards. Provide examples to illustrate application.</w:t>
      </w:r>
    </w:p>
    <w:p w14:paraId="5C195F1A" w14:textId="77777777" w:rsidR="00754203" w:rsidRPr="00754203" w:rsidRDefault="00754203" w:rsidP="003B156C">
      <w:pPr>
        <w:pStyle w:val="BodyText"/>
        <w:numPr>
          <w:ilvl w:val="0"/>
          <w:numId w:val="18"/>
        </w:numPr>
        <w:ind w:left="426"/>
      </w:pPr>
      <w:r w:rsidRPr="00754203">
        <w:t>Risk: The effect of uncertainty on objectives. Important: Risk is not just negative; it includes opportunity.</w:t>
      </w:r>
    </w:p>
    <w:p w14:paraId="54624ECC" w14:textId="77777777" w:rsidR="00754203" w:rsidRPr="00754203" w:rsidRDefault="00754203" w:rsidP="003B156C">
      <w:pPr>
        <w:pStyle w:val="BodyText"/>
        <w:numPr>
          <w:ilvl w:val="0"/>
          <w:numId w:val="18"/>
        </w:numPr>
        <w:ind w:left="426"/>
      </w:pPr>
      <w:r w:rsidRPr="00754203">
        <w:t>Opportunity: A circumstance that can improve outcomes, performance, or efficiency. Example: Automating inspections to reduce errors and time.</w:t>
      </w:r>
    </w:p>
    <w:p w14:paraId="5A75C698" w14:textId="77777777" w:rsidR="00754203" w:rsidRPr="00754203" w:rsidRDefault="00754203" w:rsidP="003B156C">
      <w:pPr>
        <w:pStyle w:val="BodyText"/>
        <w:numPr>
          <w:ilvl w:val="0"/>
          <w:numId w:val="18"/>
        </w:numPr>
        <w:ind w:left="426"/>
      </w:pPr>
      <w:r w:rsidRPr="00754203">
        <w:t>Risk-Based Thinking: A mindset requiring organisations to proactively identify, assess, and address risks and opportunities as part of normal operations. Not: A separate risk register exercise done once a year.</w:t>
      </w:r>
    </w:p>
    <w:p w14:paraId="735090EE" w14:textId="77777777" w:rsidR="00754203" w:rsidRPr="00754203" w:rsidRDefault="00754203" w:rsidP="003B156C">
      <w:pPr>
        <w:pStyle w:val="BodyText"/>
        <w:numPr>
          <w:ilvl w:val="0"/>
          <w:numId w:val="18"/>
        </w:numPr>
        <w:ind w:left="426"/>
      </w:pPr>
      <w:r w:rsidRPr="00754203">
        <w:t>Risk Assessment: The overall process of hazard identification, risk analysis, and risk evaluation.</w:t>
      </w:r>
    </w:p>
    <w:p w14:paraId="74D4E0E3" w14:textId="77777777" w:rsidR="00754203" w:rsidRPr="00754203" w:rsidRDefault="00754203" w:rsidP="003B156C">
      <w:pPr>
        <w:pStyle w:val="BodyText"/>
        <w:numPr>
          <w:ilvl w:val="0"/>
          <w:numId w:val="18"/>
        </w:numPr>
        <w:ind w:left="426"/>
      </w:pPr>
      <w:r w:rsidRPr="00754203">
        <w:t>Risk Analysis: Understanding the nature of risk and determining its level.</w:t>
      </w:r>
    </w:p>
    <w:p w14:paraId="25C449FF" w14:textId="77777777" w:rsidR="00754203" w:rsidRPr="00754203" w:rsidRDefault="00754203" w:rsidP="003B156C">
      <w:pPr>
        <w:pStyle w:val="BodyText"/>
        <w:numPr>
          <w:ilvl w:val="0"/>
          <w:numId w:val="18"/>
        </w:numPr>
        <w:ind w:left="426"/>
      </w:pPr>
      <w:r w:rsidRPr="00754203">
        <w:t>Risk Evaluation: Comparing analysed risk against criteria to determine acceptability.</w:t>
      </w:r>
    </w:p>
    <w:p w14:paraId="765773E8" w14:textId="77777777" w:rsidR="00754203" w:rsidRPr="00754203" w:rsidRDefault="00754203" w:rsidP="003B156C">
      <w:pPr>
        <w:pStyle w:val="BodyText"/>
        <w:numPr>
          <w:ilvl w:val="0"/>
          <w:numId w:val="18"/>
        </w:numPr>
        <w:ind w:left="426"/>
      </w:pPr>
      <w:r w:rsidRPr="00754203">
        <w:t>Residual Risk: Risk remaining after controls are implemented.</w:t>
      </w:r>
    </w:p>
    <w:p w14:paraId="140674EF" w14:textId="77777777" w:rsidR="00754203" w:rsidRPr="00754203" w:rsidRDefault="00754203" w:rsidP="003B156C">
      <w:pPr>
        <w:pStyle w:val="BodyText"/>
        <w:numPr>
          <w:ilvl w:val="0"/>
          <w:numId w:val="18"/>
        </w:numPr>
        <w:ind w:left="426"/>
      </w:pPr>
      <w:r w:rsidRPr="00754203">
        <w:t>Risk Register: A documented tool for recording identified risks, controls, and actions. Audit expectation: It reflects real operations, not generic risks.</w:t>
      </w:r>
    </w:p>
    <w:p w14:paraId="56C0ACA5" w14:textId="77777777" w:rsidR="00754203" w:rsidRPr="00754203" w:rsidRDefault="00754203" w:rsidP="003B156C">
      <w:pPr>
        <w:pStyle w:val="BodyText"/>
        <w:numPr>
          <w:ilvl w:val="0"/>
          <w:numId w:val="17"/>
        </w:numPr>
        <w:ind w:left="284" w:hanging="284"/>
      </w:pPr>
      <w:r w:rsidRPr="00754203">
        <w:t>ISO 9001: Quality Management Terms List terms specific to ISO 9001, with definitions and examples.</w:t>
      </w:r>
    </w:p>
    <w:p w14:paraId="38AC1C25" w14:textId="77777777" w:rsidR="00754203" w:rsidRPr="00754203" w:rsidRDefault="00754203" w:rsidP="003B156C">
      <w:pPr>
        <w:pStyle w:val="BodyText"/>
        <w:numPr>
          <w:ilvl w:val="0"/>
          <w:numId w:val="18"/>
        </w:numPr>
        <w:ind w:left="426"/>
      </w:pPr>
      <w:r w:rsidRPr="00754203">
        <w:t>Quality Management System (QMS): The organised set of policies, processes, and procedures for ensuring consistent quality. It forms the core of ISO 9001, helping businesses like SMEs track customer feedback to improve services.</w:t>
      </w:r>
    </w:p>
    <w:p w14:paraId="3DC087FD" w14:textId="77777777" w:rsidR="00754203" w:rsidRPr="00754203" w:rsidRDefault="00754203" w:rsidP="003B156C">
      <w:pPr>
        <w:pStyle w:val="BodyText"/>
        <w:numPr>
          <w:ilvl w:val="0"/>
          <w:numId w:val="18"/>
        </w:numPr>
        <w:ind w:left="426"/>
      </w:pPr>
      <w:r w:rsidRPr="00754203">
        <w:t>Process Approach: Managing activities as interconnected processes using PDCA (Plan-Do-Check-Act) cycles. This ensures smooth workflows, such as linking procurement to quality checks.</w:t>
      </w:r>
    </w:p>
    <w:p w14:paraId="1E2DD8DE" w14:textId="77777777" w:rsidR="00754203" w:rsidRPr="00754203" w:rsidRDefault="00754203" w:rsidP="003B156C">
      <w:pPr>
        <w:pStyle w:val="BodyText"/>
        <w:numPr>
          <w:ilvl w:val="0"/>
          <w:numId w:val="18"/>
        </w:numPr>
        <w:ind w:left="426"/>
      </w:pPr>
      <w:r w:rsidRPr="00754203">
        <w:t>Risk-Based Thinking: Proactively identifying and addressing risks and opportunities in quality processes. For example, assessing supplier reliability to avoid delivery delays.</w:t>
      </w:r>
    </w:p>
    <w:p w14:paraId="5FE57BF6" w14:textId="77777777" w:rsidR="00754203" w:rsidRPr="00754203" w:rsidRDefault="00754203" w:rsidP="003B156C">
      <w:pPr>
        <w:pStyle w:val="BodyText"/>
        <w:numPr>
          <w:ilvl w:val="0"/>
          <w:numId w:val="18"/>
        </w:numPr>
        <w:ind w:left="426"/>
      </w:pPr>
      <w:r w:rsidRPr="00754203">
        <w:t>Customer Focus: Prioritising understanding and meeting customer requirements to enhance satisfaction. Example: Regular surveys in service industries.</w:t>
      </w:r>
    </w:p>
    <w:p w14:paraId="01D178DE" w14:textId="77777777" w:rsidR="00754203" w:rsidRPr="00754203" w:rsidRDefault="00754203" w:rsidP="003B156C">
      <w:pPr>
        <w:pStyle w:val="BodyText"/>
        <w:numPr>
          <w:ilvl w:val="0"/>
          <w:numId w:val="18"/>
        </w:numPr>
        <w:ind w:left="426"/>
      </w:pPr>
      <w:r w:rsidRPr="00754203">
        <w:lastRenderedPageBreak/>
        <w:t>Supplier Evaluation: Assessing and monitoring external providers to ensure they meet quality standards, crucial for procurement.</w:t>
      </w:r>
    </w:p>
    <w:p w14:paraId="5C1690B9" w14:textId="77777777" w:rsidR="00754203" w:rsidRPr="00754203" w:rsidRDefault="00754203" w:rsidP="003B156C">
      <w:pPr>
        <w:pStyle w:val="BodyText"/>
        <w:numPr>
          <w:ilvl w:val="0"/>
          <w:numId w:val="18"/>
        </w:numPr>
        <w:ind w:left="426"/>
      </w:pPr>
      <w:r w:rsidRPr="00754203">
        <w:t>Management Review: Periodic meetings where leadership evaluates the QMS's performance and plans improvements.</w:t>
      </w:r>
    </w:p>
    <w:p w14:paraId="68BAEC43" w14:textId="77777777" w:rsidR="00754203" w:rsidRPr="00754203" w:rsidRDefault="00754203" w:rsidP="003B156C">
      <w:pPr>
        <w:pStyle w:val="BodyText"/>
        <w:numPr>
          <w:ilvl w:val="0"/>
          <w:numId w:val="18"/>
        </w:numPr>
        <w:ind w:left="426"/>
      </w:pPr>
      <w:r w:rsidRPr="00754203">
        <w:t>Quality: Degree to which a set of inherent characteristics fulfils requirements.</w:t>
      </w:r>
    </w:p>
    <w:p w14:paraId="6606BC20" w14:textId="77777777" w:rsidR="00754203" w:rsidRPr="00754203" w:rsidRDefault="00754203" w:rsidP="003B156C">
      <w:pPr>
        <w:pStyle w:val="BodyText"/>
        <w:numPr>
          <w:ilvl w:val="0"/>
          <w:numId w:val="18"/>
        </w:numPr>
        <w:ind w:left="426"/>
      </w:pPr>
      <w:r w:rsidRPr="00754203">
        <w:t>Customer: Person or organisation that receives a product or service.</w:t>
      </w:r>
    </w:p>
    <w:p w14:paraId="2B6C0625" w14:textId="77777777" w:rsidR="00754203" w:rsidRPr="00754203" w:rsidRDefault="00754203" w:rsidP="003B156C">
      <w:pPr>
        <w:pStyle w:val="BodyText"/>
        <w:numPr>
          <w:ilvl w:val="0"/>
          <w:numId w:val="18"/>
        </w:numPr>
        <w:ind w:left="426"/>
      </w:pPr>
      <w:r w:rsidRPr="00754203">
        <w:t>Customer Satisfaction: Customer perception of the degree to which requirements are met.</w:t>
      </w:r>
    </w:p>
    <w:p w14:paraId="6A349035" w14:textId="77777777" w:rsidR="00754203" w:rsidRPr="00754203" w:rsidRDefault="00754203" w:rsidP="003B156C">
      <w:pPr>
        <w:pStyle w:val="BodyText"/>
        <w:numPr>
          <w:ilvl w:val="0"/>
          <w:numId w:val="18"/>
        </w:numPr>
        <w:ind w:left="426"/>
      </w:pPr>
      <w:r w:rsidRPr="00754203">
        <w:t>Customer Feedback: Information relating to customer perceptions, complaints, compliments, and suggestions.</w:t>
      </w:r>
    </w:p>
    <w:p w14:paraId="7D8D2821" w14:textId="77777777" w:rsidR="00754203" w:rsidRPr="00754203" w:rsidRDefault="00754203" w:rsidP="003B156C">
      <w:pPr>
        <w:pStyle w:val="BodyText"/>
        <w:numPr>
          <w:ilvl w:val="0"/>
          <w:numId w:val="18"/>
        </w:numPr>
        <w:ind w:left="426"/>
      </w:pPr>
      <w:r w:rsidRPr="00754203">
        <w:t>Interested Party (Quality Context): Includes customers, regulators, insurers, shareholders, and end users.</w:t>
      </w:r>
    </w:p>
    <w:p w14:paraId="2B4962E4" w14:textId="77777777" w:rsidR="00754203" w:rsidRPr="00754203" w:rsidRDefault="00754203" w:rsidP="003B156C">
      <w:pPr>
        <w:pStyle w:val="BodyText"/>
        <w:numPr>
          <w:ilvl w:val="0"/>
          <w:numId w:val="18"/>
        </w:numPr>
        <w:ind w:left="426"/>
      </w:pPr>
      <w:r w:rsidRPr="00754203">
        <w:t>Product: Output of a process that can be produced without any transaction between organisation and customer.</w:t>
      </w:r>
    </w:p>
    <w:p w14:paraId="396383B2" w14:textId="77777777" w:rsidR="00754203" w:rsidRPr="00754203" w:rsidRDefault="00754203" w:rsidP="003B156C">
      <w:pPr>
        <w:pStyle w:val="BodyText"/>
        <w:numPr>
          <w:ilvl w:val="0"/>
          <w:numId w:val="18"/>
        </w:numPr>
        <w:ind w:left="426"/>
      </w:pPr>
      <w:r w:rsidRPr="00754203">
        <w:t>Service: Output involving interaction with the customer.</w:t>
      </w:r>
    </w:p>
    <w:p w14:paraId="39C0065A" w14:textId="77777777" w:rsidR="00754203" w:rsidRPr="00754203" w:rsidRDefault="00754203" w:rsidP="003B156C">
      <w:pPr>
        <w:pStyle w:val="BodyText"/>
        <w:numPr>
          <w:ilvl w:val="0"/>
          <w:numId w:val="18"/>
        </w:numPr>
        <w:ind w:left="426"/>
      </w:pPr>
      <w:r w:rsidRPr="00754203">
        <w:t>Conformity: Fulfilment of a requirement.</w:t>
      </w:r>
    </w:p>
    <w:p w14:paraId="16C07780" w14:textId="77777777" w:rsidR="00754203" w:rsidRPr="00754203" w:rsidRDefault="00754203" w:rsidP="003B156C">
      <w:pPr>
        <w:pStyle w:val="BodyText"/>
        <w:numPr>
          <w:ilvl w:val="0"/>
          <w:numId w:val="18"/>
        </w:numPr>
        <w:ind w:left="426"/>
      </w:pPr>
      <w:r w:rsidRPr="00754203">
        <w:t>Control of Nonconforming Outputs: Actions taken to prevent unintended use or delivery of nonconforming products or services.</w:t>
      </w:r>
    </w:p>
    <w:p w14:paraId="70B523F1" w14:textId="77777777" w:rsidR="00754203" w:rsidRPr="00754203" w:rsidRDefault="00754203" w:rsidP="003B156C">
      <w:pPr>
        <w:pStyle w:val="BodyText"/>
        <w:numPr>
          <w:ilvl w:val="0"/>
          <w:numId w:val="18"/>
        </w:numPr>
        <w:ind w:left="426"/>
      </w:pPr>
      <w:r w:rsidRPr="00754203">
        <w:t>Change Management (Quality): A structured approach to managing changes to processes, suppliers, or outputs.</w:t>
      </w:r>
    </w:p>
    <w:p w14:paraId="7030C876" w14:textId="77777777" w:rsidR="00754203" w:rsidRPr="00754203" w:rsidRDefault="00754203" w:rsidP="003B156C">
      <w:pPr>
        <w:pStyle w:val="BodyText"/>
        <w:numPr>
          <w:ilvl w:val="0"/>
          <w:numId w:val="18"/>
        </w:numPr>
        <w:ind w:left="426"/>
      </w:pPr>
      <w:r w:rsidRPr="00754203">
        <w:t>Performance Indicator (KPI): Measurable value that demonstrates effectiveness of processes.</w:t>
      </w:r>
    </w:p>
    <w:p w14:paraId="1A875712" w14:textId="77777777" w:rsidR="00754203" w:rsidRPr="00754203" w:rsidRDefault="00754203" w:rsidP="003B156C">
      <w:pPr>
        <w:pStyle w:val="BodyText"/>
        <w:numPr>
          <w:ilvl w:val="0"/>
          <w:numId w:val="17"/>
        </w:numPr>
        <w:ind w:left="284" w:hanging="284"/>
      </w:pPr>
      <w:r w:rsidRPr="00754203">
        <w:t>ISO 45001: Health and Safety Terms List terms specific to ISO 45001, with definitions and examples.</w:t>
      </w:r>
    </w:p>
    <w:p w14:paraId="55241F49" w14:textId="77777777" w:rsidR="00754203" w:rsidRPr="00754203" w:rsidRDefault="00754203" w:rsidP="003B156C">
      <w:pPr>
        <w:pStyle w:val="BodyText"/>
        <w:numPr>
          <w:ilvl w:val="0"/>
          <w:numId w:val="18"/>
        </w:numPr>
        <w:ind w:left="426"/>
      </w:pPr>
      <w:r w:rsidRPr="00754203">
        <w:t>Occupational Health and Safety Management System (OH&amp;S MS): A system to manage health and safety risks, promoting a safe workplace. It's essential for high-risk industries like mining, where it guides hazard controls.</w:t>
      </w:r>
    </w:p>
    <w:p w14:paraId="65D113E0" w14:textId="77777777" w:rsidR="00754203" w:rsidRPr="00754203" w:rsidRDefault="00754203" w:rsidP="003B156C">
      <w:pPr>
        <w:pStyle w:val="BodyText"/>
        <w:numPr>
          <w:ilvl w:val="0"/>
          <w:numId w:val="18"/>
        </w:numPr>
        <w:ind w:left="426"/>
      </w:pPr>
      <w:r w:rsidRPr="00754203">
        <w:t>Hazard: A source with potential to cause harm, such as machinery or chemicals. Identification is key, followed by controls like PPE.</w:t>
      </w:r>
    </w:p>
    <w:p w14:paraId="20F468D8" w14:textId="77777777" w:rsidR="00754203" w:rsidRPr="00754203" w:rsidRDefault="00754203" w:rsidP="003B156C">
      <w:pPr>
        <w:pStyle w:val="BodyText"/>
        <w:numPr>
          <w:ilvl w:val="0"/>
          <w:numId w:val="18"/>
        </w:numPr>
        <w:ind w:left="426"/>
      </w:pPr>
      <w:r w:rsidRPr="00754203">
        <w:t>Risk Assessment: Evaluating the likelihood and severity of hazards to prioritise actions. Example: Assessing fatigue in shift work to implement rest breaks.</w:t>
      </w:r>
    </w:p>
    <w:p w14:paraId="5B66F298" w14:textId="77777777" w:rsidR="00754203" w:rsidRPr="00754203" w:rsidRDefault="00754203" w:rsidP="003B156C">
      <w:pPr>
        <w:pStyle w:val="BodyText"/>
        <w:numPr>
          <w:ilvl w:val="0"/>
          <w:numId w:val="18"/>
        </w:numPr>
        <w:ind w:left="426"/>
      </w:pPr>
      <w:r w:rsidRPr="00754203">
        <w:t>Incident: An event that could or did lead to injury, like a slip or near miss. Reporting helps prevent future occurrences.</w:t>
      </w:r>
    </w:p>
    <w:p w14:paraId="1775A00A" w14:textId="77777777" w:rsidR="00754203" w:rsidRPr="00754203" w:rsidRDefault="00754203" w:rsidP="003B156C">
      <w:pPr>
        <w:pStyle w:val="BodyText"/>
        <w:numPr>
          <w:ilvl w:val="0"/>
          <w:numId w:val="18"/>
        </w:numPr>
        <w:ind w:left="426"/>
      </w:pPr>
      <w:r w:rsidRPr="00754203">
        <w:t>Near Miss: An incident that didn't cause harm but could have, used for learning and prevention.</w:t>
      </w:r>
    </w:p>
    <w:p w14:paraId="16896BEA" w14:textId="77777777" w:rsidR="00754203" w:rsidRPr="00754203" w:rsidRDefault="00754203" w:rsidP="003B156C">
      <w:pPr>
        <w:pStyle w:val="BodyText"/>
        <w:numPr>
          <w:ilvl w:val="0"/>
          <w:numId w:val="18"/>
        </w:numPr>
        <w:ind w:left="426"/>
      </w:pPr>
      <w:r w:rsidRPr="00754203">
        <w:t>Consultation and Participation: Involving workers in OH&amp;S decisions, such as through safety committees, to foster ownership.</w:t>
      </w:r>
    </w:p>
    <w:p w14:paraId="30FDA00A" w14:textId="77777777" w:rsidR="00754203" w:rsidRPr="00754203" w:rsidRDefault="00754203" w:rsidP="003B156C">
      <w:pPr>
        <w:pStyle w:val="BodyText"/>
        <w:numPr>
          <w:ilvl w:val="0"/>
          <w:numId w:val="18"/>
        </w:numPr>
        <w:ind w:left="426"/>
      </w:pPr>
      <w:r w:rsidRPr="00754203">
        <w:t>Hierarchy of Controls: A prioritised method for risk reduction, starting with elimination down to PPE.</w:t>
      </w:r>
    </w:p>
    <w:p w14:paraId="0CF163AC" w14:textId="77777777" w:rsidR="00754203" w:rsidRPr="00754203" w:rsidRDefault="00754203" w:rsidP="003B156C">
      <w:pPr>
        <w:pStyle w:val="BodyText"/>
        <w:numPr>
          <w:ilvl w:val="0"/>
          <w:numId w:val="18"/>
        </w:numPr>
        <w:ind w:left="426"/>
      </w:pPr>
      <w:r w:rsidRPr="00754203">
        <w:t>Worker: Any person performing work or work-related activities under the control of the organisation. Includes: Contractors, labour hire, apprentices.</w:t>
      </w:r>
    </w:p>
    <w:p w14:paraId="23896E44" w14:textId="77777777" w:rsidR="00754203" w:rsidRPr="00754203" w:rsidRDefault="00754203" w:rsidP="003B156C">
      <w:pPr>
        <w:pStyle w:val="BodyText"/>
        <w:numPr>
          <w:ilvl w:val="0"/>
          <w:numId w:val="18"/>
        </w:numPr>
        <w:ind w:left="426"/>
      </w:pPr>
      <w:r w:rsidRPr="00754203">
        <w:t>Workplace: Any place where work is performed.</w:t>
      </w:r>
    </w:p>
    <w:p w14:paraId="6A57E3B1" w14:textId="77777777" w:rsidR="00754203" w:rsidRPr="00754203" w:rsidRDefault="00754203" w:rsidP="003B156C">
      <w:pPr>
        <w:pStyle w:val="BodyText"/>
        <w:numPr>
          <w:ilvl w:val="0"/>
          <w:numId w:val="18"/>
        </w:numPr>
        <w:ind w:left="426"/>
      </w:pPr>
      <w:r w:rsidRPr="00754203">
        <w:t>Occupational Health and Safety (OH&amp;S): Conditions and factors affecting the health and safety of workers.</w:t>
      </w:r>
    </w:p>
    <w:p w14:paraId="48C6F7F5" w14:textId="77777777" w:rsidR="00754203" w:rsidRPr="00754203" w:rsidRDefault="00754203" w:rsidP="003B156C">
      <w:pPr>
        <w:pStyle w:val="BodyText"/>
        <w:numPr>
          <w:ilvl w:val="0"/>
          <w:numId w:val="18"/>
        </w:numPr>
        <w:ind w:left="426"/>
      </w:pPr>
      <w:r w:rsidRPr="00754203">
        <w:t>Hazard Identification: The process of recognising hazards that could cause harm.</w:t>
      </w:r>
    </w:p>
    <w:p w14:paraId="1423591C" w14:textId="77777777" w:rsidR="00754203" w:rsidRPr="00754203" w:rsidRDefault="00754203" w:rsidP="003B156C">
      <w:pPr>
        <w:pStyle w:val="BodyText"/>
        <w:numPr>
          <w:ilvl w:val="0"/>
          <w:numId w:val="18"/>
        </w:numPr>
        <w:ind w:left="426"/>
      </w:pPr>
      <w:r w:rsidRPr="00754203">
        <w:lastRenderedPageBreak/>
        <w:t>Health Risk: Risk related to long-term or chronic exposure (e.g. noise, silica, fatigue).</w:t>
      </w:r>
    </w:p>
    <w:p w14:paraId="2B1E3840" w14:textId="77777777" w:rsidR="00754203" w:rsidRPr="00754203" w:rsidRDefault="00754203" w:rsidP="003B156C">
      <w:pPr>
        <w:pStyle w:val="BodyText"/>
        <w:numPr>
          <w:ilvl w:val="0"/>
          <w:numId w:val="18"/>
        </w:numPr>
        <w:ind w:left="426"/>
      </w:pPr>
      <w:r w:rsidRPr="00754203">
        <w:t>Safety Risk: Risk related to immediate physical injury.</w:t>
      </w:r>
    </w:p>
    <w:p w14:paraId="4160C81D" w14:textId="77777777" w:rsidR="00754203" w:rsidRPr="00754203" w:rsidRDefault="00754203" w:rsidP="003B156C">
      <w:pPr>
        <w:pStyle w:val="BodyText"/>
        <w:numPr>
          <w:ilvl w:val="0"/>
          <w:numId w:val="18"/>
        </w:numPr>
        <w:ind w:left="426"/>
      </w:pPr>
      <w:r w:rsidRPr="00754203">
        <w:t>Incident Investigation: Structured process to determine causes and contributing factors.</w:t>
      </w:r>
    </w:p>
    <w:p w14:paraId="38E9EAB6" w14:textId="77777777" w:rsidR="00754203" w:rsidRPr="00754203" w:rsidRDefault="00754203" w:rsidP="003B156C">
      <w:pPr>
        <w:pStyle w:val="BodyText"/>
        <w:numPr>
          <w:ilvl w:val="0"/>
          <w:numId w:val="18"/>
        </w:numPr>
        <w:ind w:left="426"/>
      </w:pPr>
      <w:r w:rsidRPr="00754203">
        <w:t>Emergency Preparedness and Response: Processes to prevent, mitigate, and respond to emergency situations.</w:t>
      </w:r>
    </w:p>
    <w:p w14:paraId="00DE0A5C" w14:textId="77777777" w:rsidR="00754203" w:rsidRPr="00754203" w:rsidRDefault="00754203" w:rsidP="003B156C">
      <w:pPr>
        <w:pStyle w:val="BodyText"/>
        <w:numPr>
          <w:ilvl w:val="0"/>
          <w:numId w:val="18"/>
        </w:numPr>
        <w:ind w:left="426"/>
      </w:pPr>
      <w:r w:rsidRPr="00754203">
        <w:t>Worker Consultation: Two-way communication enabling workers to contribute to safety decisions.</w:t>
      </w:r>
    </w:p>
    <w:p w14:paraId="61400E69" w14:textId="77777777" w:rsidR="00754203" w:rsidRPr="00754203" w:rsidRDefault="00754203" w:rsidP="003B156C">
      <w:pPr>
        <w:pStyle w:val="BodyText"/>
        <w:numPr>
          <w:ilvl w:val="0"/>
          <w:numId w:val="18"/>
        </w:numPr>
        <w:ind w:left="426"/>
      </w:pPr>
      <w:r w:rsidRPr="00754203">
        <w:t>Participation: Active involvement of workers beyond consultation.</w:t>
      </w:r>
    </w:p>
    <w:p w14:paraId="7175CBAD" w14:textId="77777777" w:rsidR="00754203" w:rsidRPr="00754203" w:rsidRDefault="00754203" w:rsidP="003B156C">
      <w:pPr>
        <w:pStyle w:val="BodyText"/>
        <w:numPr>
          <w:ilvl w:val="0"/>
          <w:numId w:val="18"/>
        </w:numPr>
        <w:ind w:left="426"/>
      </w:pPr>
      <w:r w:rsidRPr="00754203">
        <w:t>Contractor Management: Processes to ensure contractors meet OH&amp;S requirements.</w:t>
      </w:r>
    </w:p>
    <w:p w14:paraId="4F13A8FA" w14:textId="77777777" w:rsidR="00754203" w:rsidRPr="00754203" w:rsidRDefault="00754203" w:rsidP="003B156C">
      <w:pPr>
        <w:pStyle w:val="BodyText"/>
        <w:numPr>
          <w:ilvl w:val="0"/>
          <w:numId w:val="18"/>
        </w:numPr>
        <w:ind w:left="426"/>
      </w:pPr>
      <w:r w:rsidRPr="00754203">
        <w:t>Permit to Work: Formal authorisation for high-risk activities.</w:t>
      </w:r>
    </w:p>
    <w:p w14:paraId="404665B2" w14:textId="77777777" w:rsidR="00754203" w:rsidRPr="00754203" w:rsidRDefault="00754203" w:rsidP="003B156C">
      <w:pPr>
        <w:pStyle w:val="BodyText"/>
        <w:numPr>
          <w:ilvl w:val="0"/>
          <w:numId w:val="17"/>
        </w:numPr>
        <w:ind w:left="284" w:hanging="284"/>
      </w:pPr>
      <w:r w:rsidRPr="00754203">
        <w:t>ISO 14001: Environmental Management Terms List terms specific to ISO 14001, with definitions and examples.</w:t>
      </w:r>
    </w:p>
    <w:p w14:paraId="67B84690" w14:textId="77777777" w:rsidR="00754203" w:rsidRPr="00754203" w:rsidRDefault="00754203" w:rsidP="003B156C">
      <w:pPr>
        <w:pStyle w:val="BodyText"/>
        <w:numPr>
          <w:ilvl w:val="0"/>
          <w:numId w:val="18"/>
        </w:numPr>
        <w:ind w:left="426"/>
      </w:pPr>
      <w:r w:rsidRPr="00754203">
        <w:t>Environmental Management System (EMS): A framework for managing environmental responsibilities, including policy and objectives. It helps organisations comply with laws like Australia's Environmental Protection Act.</w:t>
      </w:r>
    </w:p>
    <w:p w14:paraId="2377E78B" w14:textId="77777777" w:rsidR="00754203" w:rsidRPr="00754203" w:rsidRDefault="00754203" w:rsidP="003B156C">
      <w:pPr>
        <w:pStyle w:val="BodyText"/>
        <w:numPr>
          <w:ilvl w:val="0"/>
          <w:numId w:val="18"/>
        </w:numPr>
        <w:ind w:left="426"/>
      </w:pPr>
      <w:r w:rsidRPr="00754203">
        <w:t>Environmental Aspect: An element of your activities that interacts with the environment, such as energy use or waste generation.</w:t>
      </w:r>
    </w:p>
    <w:p w14:paraId="49FA822F" w14:textId="77777777" w:rsidR="00754203" w:rsidRPr="00754203" w:rsidRDefault="00754203" w:rsidP="003B156C">
      <w:pPr>
        <w:pStyle w:val="BodyText"/>
        <w:numPr>
          <w:ilvl w:val="0"/>
          <w:numId w:val="18"/>
        </w:numPr>
        <w:ind w:left="426"/>
      </w:pPr>
      <w:r w:rsidRPr="00754203">
        <w:t>Life Cycle Perspective: Considering environmental impacts from raw materials to end-of-life. For instance, evaluating supplier emissions in procurement.</w:t>
      </w:r>
    </w:p>
    <w:p w14:paraId="2A6111E1" w14:textId="77777777" w:rsidR="00754203" w:rsidRPr="00754203" w:rsidRDefault="00754203" w:rsidP="003B156C">
      <w:pPr>
        <w:pStyle w:val="BodyText"/>
        <w:numPr>
          <w:ilvl w:val="0"/>
          <w:numId w:val="18"/>
        </w:numPr>
        <w:ind w:left="426"/>
      </w:pPr>
      <w:r w:rsidRPr="00754203">
        <w:t>Environmental Impact: The change to the environment caused by an aspect, like pollution from emissions.</w:t>
      </w:r>
    </w:p>
    <w:p w14:paraId="68F79F2E" w14:textId="77777777" w:rsidR="00754203" w:rsidRPr="00754203" w:rsidRDefault="00754203" w:rsidP="003B156C">
      <w:pPr>
        <w:pStyle w:val="BodyText"/>
        <w:numPr>
          <w:ilvl w:val="0"/>
          <w:numId w:val="18"/>
        </w:numPr>
        <w:ind w:left="426"/>
      </w:pPr>
      <w:r w:rsidRPr="00754203">
        <w:t>Compliance Obligation: Legal and other requirements your organisation must meet, such as permits or voluntary commitments.</w:t>
      </w:r>
    </w:p>
    <w:p w14:paraId="7EA29B9F" w14:textId="77777777" w:rsidR="00754203" w:rsidRPr="00754203" w:rsidRDefault="00754203" w:rsidP="003B156C">
      <w:pPr>
        <w:pStyle w:val="BodyText"/>
        <w:numPr>
          <w:ilvl w:val="0"/>
          <w:numId w:val="18"/>
        </w:numPr>
        <w:ind w:left="426"/>
      </w:pPr>
      <w:r w:rsidRPr="00754203">
        <w:t>Operational Control: Procedures to manage aspects with significant impacts, like waste handling protocols.</w:t>
      </w:r>
    </w:p>
    <w:p w14:paraId="3F3922E4" w14:textId="77777777" w:rsidR="00754203" w:rsidRPr="00754203" w:rsidRDefault="00754203" w:rsidP="003B156C">
      <w:pPr>
        <w:pStyle w:val="BodyText"/>
        <w:numPr>
          <w:ilvl w:val="0"/>
          <w:numId w:val="18"/>
        </w:numPr>
        <w:ind w:left="426"/>
      </w:pPr>
      <w:r w:rsidRPr="00754203">
        <w:t>Environmental Policy: Statement of commitment to environmental protection and compliance.</w:t>
      </w:r>
    </w:p>
    <w:p w14:paraId="0DFC4F89" w14:textId="77777777" w:rsidR="00754203" w:rsidRPr="00754203" w:rsidRDefault="00754203" w:rsidP="003B156C">
      <w:pPr>
        <w:pStyle w:val="BodyText"/>
        <w:numPr>
          <w:ilvl w:val="0"/>
          <w:numId w:val="18"/>
        </w:numPr>
        <w:ind w:left="426"/>
      </w:pPr>
      <w:r w:rsidRPr="00754203">
        <w:t>Aspect Register: Document identifying environmental aspects and impacts.</w:t>
      </w:r>
    </w:p>
    <w:p w14:paraId="2383F1EB" w14:textId="77777777" w:rsidR="00754203" w:rsidRPr="00754203" w:rsidRDefault="00754203" w:rsidP="003B156C">
      <w:pPr>
        <w:pStyle w:val="BodyText"/>
        <w:numPr>
          <w:ilvl w:val="0"/>
          <w:numId w:val="18"/>
        </w:numPr>
        <w:ind w:left="426"/>
      </w:pPr>
      <w:r w:rsidRPr="00754203">
        <w:t>Significant Environmental Aspect: An aspect that has or can have a significant environmental impact.</w:t>
      </w:r>
    </w:p>
    <w:p w14:paraId="17E49239" w14:textId="77777777" w:rsidR="00754203" w:rsidRPr="00754203" w:rsidRDefault="00754203" w:rsidP="003B156C">
      <w:pPr>
        <w:pStyle w:val="BodyText"/>
        <w:numPr>
          <w:ilvl w:val="0"/>
          <w:numId w:val="18"/>
        </w:numPr>
        <w:ind w:left="426"/>
      </w:pPr>
      <w:r w:rsidRPr="00754203">
        <w:t>Environmental Risk: Risk associated with environmental aspects and compliance obligations.</w:t>
      </w:r>
    </w:p>
    <w:p w14:paraId="36CA63FB" w14:textId="77777777" w:rsidR="00754203" w:rsidRPr="00754203" w:rsidRDefault="00754203" w:rsidP="003B156C">
      <w:pPr>
        <w:pStyle w:val="BodyText"/>
        <w:numPr>
          <w:ilvl w:val="0"/>
          <w:numId w:val="18"/>
        </w:numPr>
        <w:ind w:left="426"/>
      </w:pPr>
      <w:r w:rsidRPr="00754203">
        <w:t>Pollution Prevention: Use of processes or practices to reduce environmental harm.</w:t>
      </w:r>
    </w:p>
    <w:p w14:paraId="0D6A74C5" w14:textId="77777777" w:rsidR="00754203" w:rsidRPr="00754203" w:rsidRDefault="00754203" w:rsidP="003B156C">
      <w:pPr>
        <w:pStyle w:val="BodyText"/>
        <w:numPr>
          <w:ilvl w:val="0"/>
          <w:numId w:val="18"/>
        </w:numPr>
        <w:ind w:left="426"/>
      </w:pPr>
      <w:r w:rsidRPr="00754203">
        <w:t>Sustainable Resource Use: Efficient use of energy, water, and materials.</w:t>
      </w:r>
    </w:p>
    <w:p w14:paraId="480E6236" w14:textId="77777777" w:rsidR="00754203" w:rsidRPr="00754203" w:rsidRDefault="00754203" w:rsidP="003B156C">
      <w:pPr>
        <w:pStyle w:val="BodyText"/>
        <w:numPr>
          <w:ilvl w:val="0"/>
          <w:numId w:val="18"/>
        </w:numPr>
        <w:ind w:left="426"/>
      </w:pPr>
      <w:r w:rsidRPr="00754203">
        <w:t>Waste Hierarchy: Avoid, Reduce, Reuse, Recycle, Recover, Dispose.</w:t>
      </w:r>
    </w:p>
    <w:p w14:paraId="6ADA97BE" w14:textId="77777777" w:rsidR="00754203" w:rsidRPr="00754203" w:rsidRDefault="00754203" w:rsidP="003B156C">
      <w:pPr>
        <w:pStyle w:val="BodyText"/>
        <w:numPr>
          <w:ilvl w:val="0"/>
          <w:numId w:val="18"/>
        </w:numPr>
        <w:ind w:left="426"/>
      </w:pPr>
      <w:r w:rsidRPr="00754203">
        <w:t>Environmental Incident: Unplanned event resulting in environmental harm.</w:t>
      </w:r>
    </w:p>
    <w:p w14:paraId="5EFC43F7" w14:textId="77777777" w:rsidR="00754203" w:rsidRPr="00754203" w:rsidRDefault="00754203" w:rsidP="003B156C">
      <w:pPr>
        <w:pStyle w:val="BodyText"/>
        <w:numPr>
          <w:ilvl w:val="0"/>
          <w:numId w:val="18"/>
        </w:numPr>
        <w:ind w:left="426"/>
      </w:pPr>
      <w:r w:rsidRPr="00754203">
        <w:t>Monitoring and Measurement: Tracking environmental performance and compliance.</w:t>
      </w:r>
    </w:p>
    <w:p w14:paraId="0EC842CF" w14:textId="77777777" w:rsidR="00754203" w:rsidRPr="00754203" w:rsidRDefault="00754203" w:rsidP="003B156C">
      <w:pPr>
        <w:pStyle w:val="BodyText"/>
        <w:numPr>
          <w:ilvl w:val="0"/>
          <w:numId w:val="18"/>
        </w:numPr>
        <w:ind w:left="426"/>
      </w:pPr>
      <w:r w:rsidRPr="00754203">
        <w:t>Emergency Environmental Response: Preparedness for spills, leaks, or releases.</w:t>
      </w:r>
    </w:p>
    <w:p w14:paraId="33B7BE24" w14:textId="77777777" w:rsidR="00754203" w:rsidRPr="00754203" w:rsidRDefault="00754203" w:rsidP="003B156C">
      <w:pPr>
        <w:pStyle w:val="BodyText"/>
        <w:numPr>
          <w:ilvl w:val="0"/>
          <w:numId w:val="17"/>
        </w:numPr>
        <w:ind w:left="284" w:hanging="284"/>
      </w:pPr>
      <w:r w:rsidRPr="00754203">
        <w:t>Annex SL: Unifying Structure Terms List terms specific to Annex SL, with definitions and examples.</w:t>
      </w:r>
    </w:p>
    <w:p w14:paraId="2B0634BC" w14:textId="77777777" w:rsidR="00754203" w:rsidRPr="00754203" w:rsidRDefault="00754203" w:rsidP="003B156C">
      <w:pPr>
        <w:pStyle w:val="BodyText"/>
        <w:numPr>
          <w:ilvl w:val="0"/>
          <w:numId w:val="18"/>
        </w:numPr>
        <w:ind w:left="426"/>
      </w:pPr>
      <w:r w:rsidRPr="00754203">
        <w:t>Annex SL: The high-level structure applied across ISO management system standards to enable integration.</w:t>
      </w:r>
    </w:p>
    <w:p w14:paraId="2821D8FB" w14:textId="77777777" w:rsidR="00754203" w:rsidRPr="00754203" w:rsidRDefault="00754203" w:rsidP="003B156C">
      <w:pPr>
        <w:pStyle w:val="BodyText"/>
        <w:numPr>
          <w:ilvl w:val="0"/>
          <w:numId w:val="18"/>
        </w:numPr>
        <w:ind w:left="426"/>
      </w:pPr>
      <w:r w:rsidRPr="00754203">
        <w:t>High-Level Structure (HLS): Common clause structure from Clause 1 to 10.</w:t>
      </w:r>
    </w:p>
    <w:p w14:paraId="358DD001" w14:textId="77777777" w:rsidR="00754203" w:rsidRPr="00754203" w:rsidRDefault="00754203" w:rsidP="003B156C">
      <w:pPr>
        <w:pStyle w:val="BodyText"/>
        <w:numPr>
          <w:ilvl w:val="0"/>
          <w:numId w:val="18"/>
        </w:numPr>
        <w:ind w:left="426"/>
      </w:pPr>
      <w:r w:rsidRPr="00754203">
        <w:lastRenderedPageBreak/>
        <w:t>Context of the Organisation: Understanding internal and external issues that affect strategic direction and IMS outcomes.</w:t>
      </w:r>
    </w:p>
    <w:p w14:paraId="1C718065" w14:textId="77777777" w:rsidR="00754203" w:rsidRPr="00754203" w:rsidRDefault="00754203" w:rsidP="003B156C">
      <w:pPr>
        <w:pStyle w:val="BodyText"/>
        <w:numPr>
          <w:ilvl w:val="0"/>
          <w:numId w:val="18"/>
        </w:numPr>
        <w:ind w:left="426"/>
      </w:pPr>
      <w:r w:rsidRPr="00754203">
        <w:t>Internal Issues: Culture, resources, competence, governance.</w:t>
      </w:r>
    </w:p>
    <w:p w14:paraId="495767DA" w14:textId="77777777" w:rsidR="00754203" w:rsidRPr="00754203" w:rsidRDefault="00754203" w:rsidP="003B156C">
      <w:pPr>
        <w:pStyle w:val="BodyText"/>
        <w:numPr>
          <w:ilvl w:val="0"/>
          <w:numId w:val="18"/>
        </w:numPr>
        <w:ind w:left="426"/>
      </w:pPr>
      <w:r w:rsidRPr="00754203">
        <w:t>External Issues: Legal, regulatory, market, environmental, social.</w:t>
      </w:r>
    </w:p>
    <w:p w14:paraId="3937E2C6" w14:textId="77777777" w:rsidR="00754203" w:rsidRPr="00754203" w:rsidRDefault="00754203" w:rsidP="003B156C">
      <w:pPr>
        <w:pStyle w:val="BodyText"/>
        <w:numPr>
          <w:ilvl w:val="0"/>
          <w:numId w:val="18"/>
        </w:numPr>
        <w:ind w:left="426"/>
      </w:pPr>
      <w:r w:rsidRPr="00754203">
        <w:t>Interested Parties: Stakeholders with relevant needs and expectations.</w:t>
      </w:r>
    </w:p>
    <w:p w14:paraId="300391D5" w14:textId="77777777" w:rsidR="00754203" w:rsidRPr="00754203" w:rsidRDefault="00754203" w:rsidP="003B156C">
      <w:pPr>
        <w:pStyle w:val="BodyText"/>
        <w:numPr>
          <w:ilvl w:val="0"/>
          <w:numId w:val="18"/>
        </w:numPr>
        <w:ind w:left="426"/>
      </w:pPr>
      <w:r w:rsidRPr="00754203">
        <w:t>Scope of the IMS: Boundaries and applicability of the management system.</w:t>
      </w:r>
    </w:p>
    <w:p w14:paraId="13FE724C" w14:textId="77777777" w:rsidR="00754203" w:rsidRPr="00754203" w:rsidRDefault="00754203" w:rsidP="003B156C">
      <w:pPr>
        <w:pStyle w:val="BodyText"/>
        <w:numPr>
          <w:ilvl w:val="0"/>
          <w:numId w:val="18"/>
        </w:numPr>
        <w:ind w:left="426"/>
      </w:pPr>
      <w:r w:rsidRPr="00754203">
        <w:t>Leadership: Active accountability of top management.</w:t>
      </w:r>
    </w:p>
    <w:p w14:paraId="23737FE3" w14:textId="77777777" w:rsidR="00754203" w:rsidRPr="00754203" w:rsidRDefault="00754203" w:rsidP="003B156C">
      <w:pPr>
        <w:pStyle w:val="BodyText"/>
        <w:numPr>
          <w:ilvl w:val="0"/>
          <w:numId w:val="18"/>
        </w:numPr>
        <w:ind w:left="426"/>
      </w:pPr>
      <w:r w:rsidRPr="00754203">
        <w:t>Planning: Systematic consideration of risks, opportunities, objectives, and changes.</w:t>
      </w:r>
    </w:p>
    <w:p w14:paraId="20FDFCBC" w14:textId="77777777" w:rsidR="00754203" w:rsidRPr="00754203" w:rsidRDefault="00754203" w:rsidP="003B156C">
      <w:pPr>
        <w:pStyle w:val="BodyText"/>
        <w:numPr>
          <w:ilvl w:val="0"/>
          <w:numId w:val="18"/>
        </w:numPr>
        <w:ind w:left="426"/>
      </w:pPr>
      <w:r w:rsidRPr="00754203">
        <w:t>Support: Resources, competence, awareness, communication, documented information.</w:t>
      </w:r>
    </w:p>
    <w:p w14:paraId="4AD586E5" w14:textId="77777777" w:rsidR="00754203" w:rsidRPr="00754203" w:rsidRDefault="00754203" w:rsidP="003B156C">
      <w:pPr>
        <w:pStyle w:val="BodyText"/>
        <w:numPr>
          <w:ilvl w:val="0"/>
          <w:numId w:val="18"/>
        </w:numPr>
        <w:ind w:left="426"/>
      </w:pPr>
      <w:r w:rsidRPr="00754203">
        <w:t>Operation: Controlled execution of planned activities.</w:t>
      </w:r>
    </w:p>
    <w:p w14:paraId="7CA4EDC8" w14:textId="77777777" w:rsidR="00754203" w:rsidRPr="00754203" w:rsidRDefault="00754203" w:rsidP="003B156C">
      <w:pPr>
        <w:pStyle w:val="BodyText"/>
        <w:numPr>
          <w:ilvl w:val="0"/>
          <w:numId w:val="18"/>
        </w:numPr>
        <w:ind w:left="426"/>
      </w:pPr>
      <w:r w:rsidRPr="00754203">
        <w:t>Performance Evaluation: Monitoring, measurement, analysis, audits, and management review.</w:t>
      </w:r>
    </w:p>
    <w:p w14:paraId="5E4315C1" w14:textId="77777777" w:rsidR="00754203" w:rsidRPr="00754203" w:rsidRDefault="00754203" w:rsidP="003B156C">
      <w:pPr>
        <w:pStyle w:val="BodyText"/>
        <w:numPr>
          <w:ilvl w:val="0"/>
          <w:numId w:val="18"/>
        </w:numPr>
        <w:ind w:left="426"/>
      </w:pPr>
      <w:r w:rsidRPr="00754203">
        <w:t>Improvement: Corrective action and continual improvement processes.</w:t>
      </w:r>
    </w:p>
    <w:p w14:paraId="505AC5AD" w14:textId="27E32058" w:rsidR="00296CD6" w:rsidRDefault="00296CD6" w:rsidP="00FA36DC">
      <w:pPr>
        <w:pStyle w:val="BodyText"/>
      </w:pPr>
    </w:p>
    <w:sectPr w:rsidR="00296CD6" w:rsidSect="002113C0">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B623" w14:textId="77777777" w:rsidR="000B6F49" w:rsidRDefault="000B6F49" w:rsidP="00E12845">
      <w:pPr>
        <w:spacing w:before="0" w:after="0"/>
      </w:pPr>
      <w:r>
        <w:separator/>
      </w:r>
    </w:p>
  </w:endnote>
  <w:endnote w:type="continuationSeparator" w:id="0">
    <w:p w14:paraId="1C1F8677" w14:textId="77777777" w:rsidR="000B6F49" w:rsidRDefault="000B6F4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8A55" w14:textId="77777777" w:rsidR="003B156C" w:rsidRDefault="003B1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7B2F0ECB"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w:t>
          </w:r>
          <w:r w:rsidR="00A7052B">
            <w:rPr>
              <w:rFonts w:eastAsiaTheme="minorEastAsia" w:cstheme="minorBidi"/>
              <w:color w:val="808080" w:themeColor="background1" w:themeShade="80"/>
              <w:sz w:val="16"/>
              <w:szCs w:val="16"/>
              <w:lang w:eastAsia="en-US"/>
            </w:rPr>
            <w:t>TMP</w:t>
          </w:r>
          <w:r w:rsidR="00CD7E04" w:rsidRPr="00CD7E04">
            <w:rPr>
              <w:rFonts w:eastAsiaTheme="minorEastAsia" w:cstheme="minorBidi"/>
              <w:color w:val="808080" w:themeColor="background1" w:themeShade="80"/>
              <w:sz w:val="16"/>
              <w:szCs w:val="16"/>
              <w:lang w:eastAsia="en-US"/>
            </w:rPr>
            <w:t>-00</w:t>
          </w:r>
          <w:r w:rsidR="00157E61">
            <w:rPr>
              <w:rFonts w:eastAsiaTheme="minorEastAsia" w:cstheme="minorBidi"/>
              <w:color w:val="808080" w:themeColor="background1" w:themeShade="80"/>
              <w:sz w:val="16"/>
              <w:szCs w:val="16"/>
              <w:lang w:eastAsia="en-US"/>
            </w:rPr>
            <w:t>2</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63B" w14:textId="77777777" w:rsidR="000B6F49" w:rsidRDefault="000B6F49" w:rsidP="00E12845">
      <w:pPr>
        <w:spacing w:before="0" w:after="0"/>
      </w:pPr>
      <w:r>
        <w:separator/>
      </w:r>
    </w:p>
  </w:footnote>
  <w:footnote w:type="continuationSeparator" w:id="0">
    <w:p w14:paraId="206439AE" w14:textId="77777777" w:rsidR="000B6F49" w:rsidRDefault="000B6F4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72E8" w14:textId="77777777" w:rsidR="003B156C" w:rsidRDefault="003B1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3254565D"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557527">
      <w:t>General QHSE Terms and Definitions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F5FD" w14:textId="77777777" w:rsidR="003B156C" w:rsidRDefault="003B1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801"/>
    <w:multiLevelType w:val="multilevel"/>
    <w:tmpl w:val="904AEB3A"/>
    <w:numStyleLink w:val="TableListNumbermaster"/>
  </w:abstractNum>
  <w:abstractNum w:abstractNumId="1" w15:restartNumberingAfterBreak="0">
    <w:nsid w:val="09A64F0D"/>
    <w:multiLevelType w:val="multilevel"/>
    <w:tmpl w:val="E8325A6A"/>
    <w:numStyleLink w:val="ListBulletmaster"/>
  </w:abstractNum>
  <w:abstractNum w:abstractNumId="2" w15:restartNumberingAfterBreak="0">
    <w:nsid w:val="0DFA5DA5"/>
    <w:multiLevelType w:val="multilevel"/>
    <w:tmpl w:val="B7A8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913431"/>
    <w:multiLevelType w:val="multilevel"/>
    <w:tmpl w:val="28F46D40"/>
    <w:numStyleLink w:val="ListNumbermaster"/>
  </w:abstractNum>
  <w:abstractNum w:abstractNumId="5"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B76778"/>
    <w:multiLevelType w:val="multilevel"/>
    <w:tmpl w:val="49B89FF0"/>
    <w:numStyleLink w:val="TableListBulletmaster"/>
  </w:abstractNum>
  <w:abstractNum w:abstractNumId="7"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E329FB"/>
    <w:multiLevelType w:val="multilevel"/>
    <w:tmpl w:val="9E5845CE"/>
    <w:numStyleLink w:val="ListLegalmaster"/>
  </w:abstractNum>
  <w:abstractNum w:abstractNumId="11" w15:restartNumberingAfterBreak="0">
    <w:nsid w:val="35C805B1"/>
    <w:multiLevelType w:val="multilevel"/>
    <w:tmpl w:val="F96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32D74CC"/>
    <w:multiLevelType w:val="multilevel"/>
    <w:tmpl w:val="50460AFC"/>
    <w:numStyleLink w:val="AppendixHeadingmaster"/>
  </w:abstractNum>
  <w:abstractNum w:abstractNumId="17"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2088989">
    <w:abstractNumId w:val="3"/>
  </w:num>
  <w:num w:numId="2" w16cid:durableId="2143037006">
    <w:abstractNumId w:val="15"/>
  </w:num>
  <w:num w:numId="3" w16cid:durableId="632176145">
    <w:abstractNumId w:val="5"/>
  </w:num>
  <w:num w:numId="4" w16cid:durableId="1083526223">
    <w:abstractNumId w:val="17"/>
  </w:num>
  <w:num w:numId="5" w16cid:durableId="1475030420">
    <w:abstractNumId w:val="14"/>
  </w:num>
  <w:num w:numId="6" w16cid:durableId="592008480">
    <w:abstractNumId w:val="7"/>
  </w:num>
  <w:num w:numId="7" w16cid:durableId="1209294974">
    <w:abstractNumId w:val="0"/>
  </w:num>
  <w:num w:numId="8" w16cid:durableId="7149338">
    <w:abstractNumId w:val="12"/>
  </w:num>
  <w:num w:numId="9" w16cid:durableId="1854565537">
    <w:abstractNumId w:val="4"/>
  </w:num>
  <w:num w:numId="10" w16cid:durableId="1285112659">
    <w:abstractNumId w:val="6"/>
  </w:num>
  <w:num w:numId="11" w16cid:durableId="605890542">
    <w:abstractNumId w:val="8"/>
  </w:num>
  <w:num w:numId="12" w16cid:durableId="771776993">
    <w:abstractNumId w:val="16"/>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3" w16cid:durableId="1324427436">
    <w:abstractNumId w:val="13"/>
  </w:num>
  <w:num w:numId="14" w16cid:durableId="1351908737">
    <w:abstractNumId w:val="1"/>
  </w:num>
  <w:num w:numId="15" w16cid:durableId="2057122869">
    <w:abstractNumId w:val="9"/>
  </w:num>
  <w:num w:numId="16" w16cid:durableId="2058505291">
    <w:abstractNumId w:val="10"/>
  </w:num>
  <w:num w:numId="17" w16cid:durableId="2127044341">
    <w:abstractNumId w:val="2"/>
  </w:num>
  <w:num w:numId="18" w16cid:durableId="1228416726">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B6F49"/>
    <w:rsid w:val="000C1131"/>
    <w:rsid w:val="000C169C"/>
    <w:rsid w:val="000C654D"/>
    <w:rsid w:val="000D056A"/>
    <w:rsid w:val="000D385D"/>
    <w:rsid w:val="000E306E"/>
    <w:rsid w:val="00104750"/>
    <w:rsid w:val="001057A3"/>
    <w:rsid w:val="00132B59"/>
    <w:rsid w:val="00141883"/>
    <w:rsid w:val="001444B2"/>
    <w:rsid w:val="00157E61"/>
    <w:rsid w:val="0017004B"/>
    <w:rsid w:val="001707D4"/>
    <w:rsid w:val="00172538"/>
    <w:rsid w:val="00173730"/>
    <w:rsid w:val="00174429"/>
    <w:rsid w:val="00186429"/>
    <w:rsid w:val="001A7E36"/>
    <w:rsid w:val="001C152B"/>
    <w:rsid w:val="001C1CF7"/>
    <w:rsid w:val="001C4183"/>
    <w:rsid w:val="001C7A61"/>
    <w:rsid w:val="001D450D"/>
    <w:rsid w:val="001E4C9F"/>
    <w:rsid w:val="001E5D11"/>
    <w:rsid w:val="001F0808"/>
    <w:rsid w:val="001F3737"/>
    <w:rsid w:val="001F4563"/>
    <w:rsid w:val="0020139C"/>
    <w:rsid w:val="00203BC1"/>
    <w:rsid w:val="00210591"/>
    <w:rsid w:val="002113C0"/>
    <w:rsid w:val="00214C22"/>
    <w:rsid w:val="0023754A"/>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6860"/>
    <w:rsid w:val="002F1309"/>
    <w:rsid w:val="0030050F"/>
    <w:rsid w:val="00301F29"/>
    <w:rsid w:val="00307DF3"/>
    <w:rsid w:val="00323771"/>
    <w:rsid w:val="003424EC"/>
    <w:rsid w:val="0035237F"/>
    <w:rsid w:val="003531B8"/>
    <w:rsid w:val="003724D0"/>
    <w:rsid w:val="00384297"/>
    <w:rsid w:val="00384BB1"/>
    <w:rsid w:val="003942B0"/>
    <w:rsid w:val="003A253B"/>
    <w:rsid w:val="003B156C"/>
    <w:rsid w:val="003C2836"/>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564"/>
    <w:rsid w:val="004B0F0A"/>
    <w:rsid w:val="004B56D5"/>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57527"/>
    <w:rsid w:val="00561238"/>
    <w:rsid w:val="005625A5"/>
    <w:rsid w:val="00565188"/>
    <w:rsid w:val="00590F01"/>
    <w:rsid w:val="0059213D"/>
    <w:rsid w:val="005944DE"/>
    <w:rsid w:val="005A22B2"/>
    <w:rsid w:val="005A58C1"/>
    <w:rsid w:val="005A6908"/>
    <w:rsid w:val="005A756A"/>
    <w:rsid w:val="005B058C"/>
    <w:rsid w:val="005B3296"/>
    <w:rsid w:val="005B6A04"/>
    <w:rsid w:val="005B7D51"/>
    <w:rsid w:val="005C00AD"/>
    <w:rsid w:val="005C0197"/>
    <w:rsid w:val="005C4518"/>
    <w:rsid w:val="005D5D5C"/>
    <w:rsid w:val="005F7DDD"/>
    <w:rsid w:val="00613EDF"/>
    <w:rsid w:val="00631A6E"/>
    <w:rsid w:val="00636609"/>
    <w:rsid w:val="00640CB6"/>
    <w:rsid w:val="0064207F"/>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6D8"/>
    <w:rsid w:val="006D2EB5"/>
    <w:rsid w:val="006D46BC"/>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54203"/>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1D8A"/>
    <w:rsid w:val="00933BAD"/>
    <w:rsid w:val="00934497"/>
    <w:rsid w:val="0095461B"/>
    <w:rsid w:val="009574A1"/>
    <w:rsid w:val="00996C31"/>
    <w:rsid w:val="009B3D22"/>
    <w:rsid w:val="009B51C1"/>
    <w:rsid w:val="009B52DC"/>
    <w:rsid w:val="009C3831"/>
    <w:rsid w:val="009C3CE4"/>
    <w:rsid w:val="009E130D"/>
    <w:rsid w:val="009E1C3D"/>
    <w:rsid w:val="009E5688"/>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2776B"/>
    <w:rsid w:val="00B30DD9"/>
    <w:rsid w:val="00B42B34"/>
    <w:rsid w:val="00B43CBF"/>
    <w:rsid w:val="00B714F4"/>
    <w:rsid w:val="00B85E05"/>
    <w:rsid w:val="00B977EF"/>
    <w:rsid w:val="00BA6FE1"/>
    <w:rsid w:val="00BB613C"/>
    <w:rsid w:val="00BB6C2B"/>
    <w:rsid w:val="00BB72A2"/>
    <w:rsid w:val="00BC1110"/>
    <w:rsid w:val="00BC1B34"/>
    <w:rsid w:val="00BD4ACF"/>
    <w:rsid w:val="00BD4C35"/>
    <w:rsid w:val="00BE0894"/>
    <w:rsid w:val="00BE35B9"/>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0C95"/>
    <w:rsid w:val="00D4764D"/>
    <w:rsid w:val="00D56592"/>
    <w:rsid w:val="00D600C5"/>
    <w:rsid w:val="00D66DDE"/>
    <w:rsid w:val="00D6789D"/>
    <w:rsid w:val="00D73C3A"/>
    <w:rsid w:val="00D85937"/>
    <w:rsid w:val="00D927D8"/>
    <w:rsid w:val="00D93AD3"/>
    <w:rsid w:val="00D9787C"/>
    <w:rsid w:val="00DA1D49"/>
    <w:rsid w:val="00DA41AA"/>
    <w:rsid w:val="00DA41D3"/>
    <w:rsid w:val="00DA5572"/>
    <w:rsid w:val="00DA7B45"/>
    <w:rsid w:val="00DB38ED"/>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526B"/>
    <w:rsid w:val="00E83FE5"/>
    <w:rsid w:val="00E85990"/>
    <w:rsid w:val="00E85CF8"/>
    <w:rsid w:val="00E94FF4"/>
    <w:rsid w:val="00EB56AA"/>
    <w:rsid w:val="00EC5140"/>
    <w:rsid w:val="00ED38DC"/>
    <w:rsid w:val="00EF36BC"/>
    <w:rsid w:val="00EF5543"/>
    <w:rsid w:val="00EF5DBE"/>
    <w:rsid w:val="00F0150A"/>
    <w:rsid w:val="00F03C62"/>
    <w:rsid w:val="00F31ABC"/>
    <w:rsid w:val="00F51436"/>
    <w:rsid w:val="00F5215D"/>
    <w:rsid w:val="00F5224F"/>
    <w:rsid w:val="00F5733E"/>
    <w:rsid w:val="00F760DD"/>
    <w:rsid w:val="00F95FA9"/>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14"/>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14"/>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14"/>
      </w:numPr>
    </w:pPr>
    <w:rPr>
      <w:rFonts w:eastAsia="Times New Roman" w:cs="Times New Roman"/>
      <w:szCs w:val="24"/>
      <w:lang w:eastAsia="en-GB"/>
    </w:rPr>
  </w:style>
  <w:style w:type="numbering" w:customStyle="1" w:styleId="ListNumbermaster">
    <w:name w:val="List Number (master)"/>
    <w:rsid w:val="000419F4"/>
    <w:pPr>
      <w:numPr>
        <w:numId w:val="15"/>
      </w:numPr>
    </w:pPr>
  </w:style>
  <w:style w:type="paragraph" w:styleId="ListNumber2">
    <w:name w:val="List Number 2"/>
    <w:basedOn w:val="Normal"/>
    <w:uiPriority w:val="5"/>
    <w:semiHidden/>
    <w:qFormat/>
    <w:rsid w:val="004A37CA"/>
    <w:pPr>
      <w:numPr>
        <w:ilvl w:val="1"/>
        <w:numId w:val="9"/>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9"/>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9"/>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0"/>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5"/>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7"/>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6"/>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2"/>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8"/>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16"/>
      </w:numPr>
    </w:pPr>
  </w:style>
  <w:style w:type="numbering" w:customStyle="1" w:styleId="ListLegalmaster">
    <w:name w:val="List Legal (master)"/>
    <w:uiPriority w:val="99"/>
    <w:locked/>
    <w:rsid w:val="009E130D"/>
    <w:pPr>
      <w:numPr>
        <w:numId w:val="11"/>
      </w:numPr>
    </w:pPr>
  </w:style>
  <w:style w:type="paragraph" w:customStyle="1" w:styleId="ListLegal2">
    <w:name w:val="List Legal 2"/>
    <w:basedOn w:val="ListNumber2"/>
    <w:uiPriority w:val="8"/>
    <w:semiHidden/>
    <w:qFormat/>
    <w:rsid w:val="009E130D"/>
    <w:pPr>
      <w:numPr>
        <w:numId w:val="16"/>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3"/>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BC822-9962-4C81-A9AA-1F54384375D5}">
  <ds:schemaRefs>
    <ds:schemaRef ds:uri="http://schemas.microsoft.com/sharepoint/v3/contenttype/forms"/>
  </ds:schemaRefs>
</ds:datastoreItem>
</file>

<file path=customXml/itemProps2.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4.xml><?xml version="1.0" encoding="utf-8"?>
<ds:datastoreItem xmlns:ds="http://schemas.openxmlformats.org/officeDocument/2006/customXml" ds:itemID="{DDFAB643-E158-48A1-A74F-0880D1FA0F41}">
  <ds:schemaRefs>
    <ds:schemaRef ds:uri="http://schemas.microsoft.com/office/2006/metadata/properties"/>
    <ds:schemaRef ds:uri="http://schemas.microsoft.com/office/infopath/2007/PartnerControls"/>
    <ds:schemaRef ds:uri="d745c691-4f52-4cd7-ac48-25bbe36e1ac1"/>
    <ds:schemaRef ds:uri="51a75809-ec5e-48ce-b26f-2f4f0d3126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1647</Words>
  <Characters>10897</Characters>
  <Application>Microsoft Office Word</Application>
  <DocSecurity>0</DocSecurity>
  <Lines>181</Lines>
  <Paragraphs>104</Paragraphs>
  <ScaleCrop>false</ScaleCrop>
  <HeadingPairs>
    <vt:vector size="2" baseType="variant">
      <vt:variant>
        <vt:lpstr>Title</vt:lpstr>
      </vt:variant>
      <vt:variant>
        <vt:i4>1</vt:i4>
      </vt:variant>
    </vt:vector>
  </HeadingPairs>
  <TitlesOfParts>
    <vt:vector size="1" baseType="lpstr">
      <vt:lpstr>IMS Scope Template</vt:lpstr>
    </vt:vector>
  </TitlesOfParts>
  <Manager>Micah Wicham</Manager>
  <Company>MiSAFE Solutions Pty Ltd</Company>
  <LinksUpToDate>false</LinksUpToDate>
  <CharactersWithSpaces>12533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QHSE Terms and Definitions Template</dc:title>
  <dc:subject>General QHSE Terms and Definitions Template</dc:subject>
  <dc:creator>Micah Wicham</dc:creator>
  <cp:keywords>General QHSE Terms and Definitions Template, Templates</cp:keywords>
  <dc:description>Developed by MiSAFE Solutions Pty Ltd
www.misafesolutions.com.au
Copyright © MiSAFE Solutions Pty Ltd</dc:description>
  <cp:lastModifiedBy>Micah Wicham</cp:lastModifiedBy>
  <cp:revision>10</cp:revision>
  <cp:lastPrinted>2018-08-23T00:02:00Z</cp:lastPrinted>
  <dcterms:created xsi:type="dcterms:W3CDTF">2026-01-04T23:33:00Z</dcterms:created>
  <dcterms:modified xsi:type="dcterms:W3CDTF">2026-01-04T23:47:00Z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